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附件</w:t>
      </w:r>
    </w:p>
    <w:p>
      <w:pPr>
        <w:numPr>
          <w:ilvl w:val="0"/>
          <w:numId w:val="0"/>
        </w:numPr>
        <w:jc w:val="center"/>
        <w:spacing w:lineRule="exact" w:line="58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2018年度河北省在读研究生创新能力培养资助项目</w:t>
      </w:r>
    </w:p>
    <w:p>
      <w:pPr>
        <w:numPr>
          <w:ilvl w:val="0"/>
          <w:numId w:val="0"/>
        </w:numPr>
        <w:jc w:val="center"/>
        <w:spacing w:lineRule="exact" w:line="58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立项名单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13308" w:type="dxa"/>
        <w:tblInd w:w="181" w:type="dxa"/>
        <w:tblLook w:val="000000" w:firstRow="0" w:lastRow="0" w:firstColumn="0" w:lastColumn="0" w:noHBand="0" w:noVBand="0"/>
        <w:tblLayout w:type="fixed"/>
      </w:tblPr>
      <w:tblGrid>
        <w:gridCol w:w="705"/>
        <w:gridCol w:w="1845"/>
        <w:gridCol w:w="4423"/>
        <w:gridCol w:w="1080"/>
        <w:gridCol w:w="1080"/>
        <w:gridCol w:w="1440"/>
        <w:gridCol w:w="1080"/>
        <w:gridCol w:w="1655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项目编号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项目名称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负责人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类别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项目类别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资助金额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（万元）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single" w:color="000000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项目执行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起止时间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CXZZBS2018030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低温轧制高强韧镁合金的设计与开发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孟帅举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CXZZBS2018031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新型硅胶兼容CdSe基量子点研究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谢杨杨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CXZZBS2018032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基于降维和区间方法的极大-加线性系统控制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与优化研究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王彩璐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4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CXZZBS2018033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废旧锌锰电池芯负载黑色二氧化钛复合光催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化剂的制备及其催化净化VOCs的性能研究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赵忠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5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CXZZBS2018034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煤制乙二醇副产物分离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段丛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6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CXZZBS2018035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纳米氧化物复合微界面吸附的研究及在泡沫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分离中的应用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黄迪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7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CXZZBS2018036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磷酸锰涂层微-纳结构对齿轮疲劳裂纹演变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作用机理研究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臧立彬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8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CXZZBS2018037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基于并行四颜色通道条纹投影的快速高精度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三维测量系统研究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王张颖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9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CXZZBS2018038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液化场地新型异跨地铁地下车站结构地震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破坏机理研究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王建宁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10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CXZZBS2018039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考虑分段电弧特征的低压断路器电寿命预测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模型研究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刘政军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11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CXZZBS2018040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人工智能时代我国劳动力转型机制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郝力晓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1.5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12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CXZZBS2018041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共享经济商业模式创新及价值创造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机理研究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张烨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1.5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0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13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CXZZBS2018042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基于复杂系统理论的农村金融生态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减贫机理与对策研究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李瑞晶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博士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1.5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14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CXZZSS2018010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铌酸锂基介电液滴光操控机制的研究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李菲菲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15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CXZZSS2018011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多级孔超细Cu2O纳米线的制备及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光催化降解性能的研究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李曼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16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CXZZSS2018012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工业干扰环境下基于模板匹配的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印刷品缺陷检测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韩春颖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17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CXZZSS2018013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双极化超宽带能量收集天线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吝子祥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18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CXZZSS2018014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下肢外骨骼的力矩耦合与弹性振动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抑制方法研究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宋晓伟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19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CXZZSS2018015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拓宽显示器色域的光学结构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张弛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理学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20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CXZZSS2018016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聚光光伏—光热反应互补系统性能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张旭军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21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CXZZSS2018017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河北省保定市依棉片区宜居建设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张佳瑶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22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CXZZSS2018018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基于产品设计DNA和TRIZ需求进化定律的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产品创新方法研究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周坤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23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CXZZSS2018019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集成价值工程与TRIZ求解工具的创新设计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过程研究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许彤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24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CXZZSS2018020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生物滴滤塔处理VOCs废气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李彤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25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CXZZSS2018021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MMT-LDH层层组装农药可控缓释材料制备、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结构和性能的研究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刘昌霞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理学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26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CXZZSS2018022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有序介孔材料表面性质及孔结构对增强天然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气水合物储存密度作用研究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谢文静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理学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27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CXZZSS2018023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马克思主义哲学视域中“美好生活”的理论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基础与实践逻辑研究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刘子飞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0.5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28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CXZZSS2018024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基于法向修正及自适应双边滤波的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点云去噪算法研究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任永潮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29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CXZZSS2018025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微小间隙下高精度齿轮机构多间隙耦合机理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齐超群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30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CXZZSS2018026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基于视触融合的步态多样性身份特征提取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方法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王瑞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31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CXZZSS2018027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混凝土抗拉强度与等效断裂韧度理论模型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程月华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32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CXZZSS2018028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基于裂缝黏聚力的混凝土断裂极值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理论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董默闻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33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CXZZSS2018029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稀土掺杂AgSnO2电接触材料性能的仿真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与试验研究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张颖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34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CXZZSS2018030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PWM电机系统共模电流问题研究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曹石然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35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CXZZSS2018031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基于深度学习的人脸表情动画生成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闫帅帅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工学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0.6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36</w:t>
            </w:r>
          </w:p>
        </w:tc>
        <w:tc>
          <w:tcPr>
            <w:tcW w:type="dxa" w:w="18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CXZZSS2018032</w:t>
            </w:r>
          </w:p>
        </w:tc>
        <w:tc>
          <w:tcPr>
            <w:tcW w:type="dxa" w:w="44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新员工挫折感演化的跨层次追踪研究</w:t>
            </w:r>
          </w:p>
        </w:tc>
        <w:tc>
          <w:tcPr>
            <w:tcW w:type="dxa" w:w="10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崔文静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0.5</w:t>
            </w:r>
          </w:p>
        </w:tc>
        <w:tc>
          <w:tcPr>
            <w:tcW w:type="dxa" w:w="16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hidden w:val="0"/>
        </w:trPr>
        <w:tc>
          <w:tcPr>
            <w:tcW w:type="dxa" w:w="7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single" w:color="000000" w:sz="8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37</w:t>
            </w:r>
          </w:p>
        </w:tc>
        <w:tc>
          <w:tcPr>
            <w:tcW w:type="dxa" w:w="184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CXZZSS2018033</w:t>
            </w:r>
          </w:p>
        </w:tc>
        <w:tc>
          <w:tcPr>
            <w:tcW w:type="dxa" w:w="44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基于改进的空间回归模型的城市轨道交通对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地价影响研究</w:t>
            </w:r>
          </w:p>
        </w:tc>
        <w:tc>
          <w:tcPr>
            <w:tcW w:type="dxa" w:w="10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王佳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20" w:type="dxa"/>
              <w:right w:w="120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宋体" w:eastAsia="宋体" w:hAnsi="宋体" w:hint="default"/>
              </w:rPr>
              <w:t>硕士</w:t>
            </w:r>
          </w:p>
        </w:tc>
        <w:tc>
          <w:tcPr>
            <w:tcW w:type="dxa" w:w="14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人文社会科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</w:t>
            </w:r>
          </w:p>
        </w:tc>
        <w:tc>
          <w:tcPr>
            <w:tcW w:type="dxa" w:w="10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19" w:type="dxa"/>
              <w:right w:w="119" w:type="dxa"/>
            </w:tcMar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t>0.5</w:t>
            </w:r>
          </w:p>
        </w:tc>
        <w:tc>
          <w:tcPr>
            <w:tcW w:type="dxa" w:w="165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8"/>
              <w:left w:val="nil" w:color="auto"/>
              <w:right w:val="single" w:color="000000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0"/>
                <w:szCs w:val="20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2018.4-2019.4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sectPr>
      <w:pgSz w:w="16838" w:h="11906" w:orient="landscape"/>
      <w:pgMar w:top="1440" w:left="1440" w:bottom="1440" w:right="1701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Malgun 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Malgun Gothic" w:eastAsia="Times New Roman" w:hAnsi="Malgun Gothic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rFonts w:ascii="Times New Roman" w:eastAsia="Times New Roman" w:hAnsi="Times New Roman"/>
      <w:b/>
      <w:shd w:val="clear"/>
      <w:sz w:val="32"/>
      <w:szCs w:val="32"/>
      <w:w w:val="100"/>
    </w:rPr>
  </w:style>
  <w:style w:styleId="PO7" w:type="paragraph">
    <w:name w:val="heading 1"/>
    <w:next w:val="PO1"/>
    <w:qFormat/>
    <w:uiPriority w:val="7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8"/>
      <w:szCs w:val="28"/>
      <w:w w:val="100"/>
    </w:rPr>
  </w:style>
  <w:style w:styleId="PO8" w:type="paragraph">
    <w:name w:val="heading 2"/>
    <w:next w:val="PO1"/>
    <w:qFormat/>
    <w:uiPriority w:val="8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9" w:type="paragraph">
    <w:name w:val="heading 3"/>
    <w:next w:val="PO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10" w:type="paragraph">
    <w:name w:val="heading 4"/>
    <w:next w:val="PO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rFonts w:ascii="Times New Roman" w:eastAsia="Times New Roman" w:hAnsi="Times New Roman"/>
      <w:b/>
      <w:shd w:val="clear"/>
      <w:sz w:val="20"/>
      <w:szCs w:val="20"/>
      <w:w w:val="100"/>
    </w:rPr>
  </w:style>
  <w:style w:styleId="PO11" w:type="paragraph">
    <w:name w:val="heading 5"/>
    <w:next w:val="PO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12" w:type="paragraph">
    <w:name w:val="heading 6"/>
    <w:next w:val="PO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rFonts w:ascii="Times New Roman" w:eastAsia="Times New Roman" w:hAnsi="Times New Roman"/>
      <w:b/>
      <w:shd w:val="clear"/>
      <w:sz w:val="20"/>
      <w:szCs w:val="20"/>
      <w:w w:val="100"/>
    </w:rPr>
  </w:style>
  <w:style w:styleId="PO13" w:type="paragraph">
    <w:name w:val="heading 7"/>
    <w:next w:val="PO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14" w:type="paragraph">
    <w:name w:val="heading 8"/>
    <w:next w:val="PO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15" w:type="paragraph">
    <w:name w:val="heading 9"/>
    <w:next w:val="PO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 w:color="000000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rFonts w:ascii="Times New Roman" w:eastAsia="Times New Roman" w:hAnsi="Times New Roman"/>
      <w:shd w:val="clear"/>
      <w:sz w:val="20"/>
      <w:szCs w:val="20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rFonts w:ascii="Times New Roman" w:eastAsia="Times New Roman" w:hAnsi="Times New Roman"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next w:val="PO1"/>
    <w:qFormat/>
    <w:uiPriority w:val="28"/>
    <w:unhideWhenUsed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29" w:type="paragraph">
    <w:name w:val="toc 2"/>
    <w:next w:val="PO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0" w:type="paragraph">
    <w:name w:val="toc 3"/>
    <w:next w:val="PO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1" w:type="paragraph">
    <w:name w:val="toc 4"/>
    <w:next w:val="PO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2" w:type="paragraph">
    <w:name w:val="toc 5"/>
    <w:next w:val="PO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3" w:type="paragraph">
    <w:name w:val="toc 6"/>
    <w:next w:val="PO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4" w:type="paragraph">
    <w:name w:val="toc 7"/>
    <w:next w:val="PO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5" w:type="paragraph">
    <w:name w:val="toc 8"/>
    <w:next w:val="PO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styleId="PO36" w:type="paragraph">
    <w:name w:val="toc 9"/>
    <w:next w:val="PO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qFormat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0"/>
        <w:right w:type="dxa" w:w="0"/>
        <w:top w:type="dxa" w:w="0"/>
      </w:tblCellMar>
    </w:tblPr>
  </w:style>
  <w:style w:customStyle="1" w:styleId="PO143" w:type="table">
    <w:name w:val="Calendar1"/>
    <w:qFormat/>
    <w:uiPriority w:val="143"/>
    <w:rPr>
      <w:shd w:val="clear"/>
      <w:sz w:val="22"/>
      <w:szCs w:val="22"/>
      <w:w w:val="100"/>
    </w:rPr>
    <w:tblPr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shd w:color="000000" w:val="clear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color="000000" w:val="clear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jc w:val="both"/>
      </w:pPr>
      <w:rPr>
        <w:shd w:val="clear" w:color="000000"/>
        <w:sz w:val="44"/>
        <w:szCs w:val="44"/>
        <w:w w:val="100"/>
      </w:rPr>
    </w:tblStylePr>
    <w:tblStylePr w:type="lastRow">
      <w:tblPr/>
      <w:tcPr>
        <w:shd w:color="000000" w:val="clear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4" w:type="table">
    <w:name w:val="Calendar2"/>
    <w:qFormat/>
    <w:uiPriority w:val="144"/>
    <w:pPr>
      <w:autoSpaceDE w:val="1"/>
      <w:autoSpaceDN w:val="1"/>
      <w:jc w:val="center"/>
      <w:widowControl/>
      <w:wordWrap/>
    </w:pPr>
    <w:rPr>
      <w:shd w:val="clear"/>
      <w:sz w:val="28"/>
      <w:szCs w:val="28"/>
      <w:w w:val="100"/>
    </w:rPr>
    <w:tblPr>
      <w:tblBorders>
        <w:insideV w:val="single" w:color="9DC3E6" w:themeColor="accent1" w:themeTint="99" w:sz="4"/>
      </w:tblBorders>
      <w:tblCellMar>
        <w:bottom w:type="dxa" w:w="0"/>
        <w:left w:type="dxa" w:w="0"/>
        <w:right w:type="dxa" w:w="0"/>
        <w:top w:type="dxa" w:w="0"/>
      </w:tblCellMar>
    </w:tblPr>
    <w:tblStylePr w:type="firstRow">
      <w:rPr>
        <w:color w:val="5B9BD5" w:themeColor="accent1"/>
        <w:shd w:val="clear" w:color="000000"/>
        <w:sz w:val="32"/>
        <w:szCs w:val="32"/>
        <w:w w:val="100"/>
      </w:rPr>
      <w:tblPr/>
      <w:tcPr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5" w:type="table">
    <w:name w:val="Calendar3"/>
    <w:qFormat/>
    <w:uiPriority w:val="145"/>
    <w:pPr>
      <w:autoSpaceDE w:val="1"/>
      <w:autoSpaceDN w:val="1"/>
      <w:jc w:val="right"/>
      <w:widowControl/>
      <w:wordWrap/>
    </w:pPr>
    <w:rPr>
      <w:color w:val="000000" w:themeColor="text1"/>
      <w:shd w:val="clear"/>
      <w:sz w:val="22"/>
      <w:szCs w:val="22"/>
      <w:w w:val="100"/>
    </w:rPr>
    <w:tblPr>
      <w:tblCellMar>
        <w:bottom w:type="dxa" w:w="0"/>
        <w:left w:type="dxa" w:w="0"/>
        <w:right w:type="dxa" w:w="0"/>
        <w:top w:type="dxa" w:w="0"/>
      </w:tblCellMar>
    </w:tblPr>
    <w:tblStylePr w:type="firstCol">
      <w:rPr>
        <w:color w:val="5B9BD5" w:themeColor="accent1"/>
        <w:shd w:val="clear" w:color="000000"/>
        <w:sz w:val="20"/>
        <w:szCs w:val="20"/>
        <w:w w:val="100"/>
      </w:rPr>
    </w:tblStylePr>
    <w:tblStylePr w:type="firstRow">
      <w:pPr>
        <w:jc w:val="right"/>
      </w:pPr>
      <w:rPr>
        <w:color w:val="5B9BD5" w:themeColor="accent1"/>
        <w:shd w:val="clear" w:color="000000"/>
        <w:sz w:val="20"/>
        <w:szCs w:val="20"/>
        <w:w w:val="100"/>
      </w:rPr>
    </w:tblStylePr>
    <w:tblStylePr w:type="lastCol">
      <w:rPr>
        <w:color w:val="5B9BD5" w:themeColor="accent1"/>
        <w:shd w:val="clear" w:color="000000"/>
        <w:sz w:val="20"/>
        <w:szCs w:val="20"/>
        <w:w w:val="100"/>
      </w:rPr>
    </w:tblStylePr>
  </w:style>
  <w:style w:customStyle="1" w:styleId="PO146" w:type="table">
    <w:name w:val="Calendar4"/>
    <w:qFormat/>
    <w:uiPriority w:val="146"/>
    <w:rPr>
      <w:color w:val="FFFFFF" w:themeColor="background1"/>
      <w:b/>
      <w:shd w:val="clear"/>
      <w:sz w:val="16"/>
      <w:szCs w:val="16"/>
      <w:w w:val="100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0"/>
        <w:right w:type="dxa" w:w="0"/>
        <w:top w:type="dxa" w:w="0"/>
      </w:tblCellMar>
    </w:tblPr>
    <w:tcPr>
      <w:shd w:fill="1E4D78" w:themeFill="accent1" w:themeFillShade="7F" w:color="000000" w:val="clear"/>
    </w:tcPr>
    <w:tblStylePr w:type="band1Horz">
      <w:rPr>
        <w:shd w:val="clear" w:color="000000"/>
        <w:sz w:val="16"/>
        <w:szCs w:val="16"/>
        <w:w w:val="100"/>
      </w:rPr>
    </w:tblStylePr>
    <w:tblStylePr w:type="band2Horz">
      <w:rPr>
        <w:shd w:val="clear" w:color="000000"/>
        <w:sz w:val="28"/>
        <w:szCs w:val="28"/>
        <w:w w:val="100"/>
      </w:rPr>
      <w:tblPr/>
      <w:tcPr>
        <w:tcMar>
          <w:bottom w:type="dxa" w:w="115"/>
          <w:left w:type="dxa" w:w="0"/>
          <w:right w:type="dxa" w:w="86"/>
          <w:top w:type="dxa" w:w="115"/>
        </w:tcMar>
      </w:tcPr>
    </w:tblStylePr>
    <w:tblStylePr w:type="firstCol">
      <w:pPr>
        <w:jc w:val="both"/>
      </w:pPr>
      <w:rPr>
        <w:color w:val="5B9BD5" w:themeColor="accent1"/>
        <w:b/>
        <w:shd w:val="clear" w:color="000000"/>
        <w:sz w:val="20"/>
        <w:szCs w:val="20"/>
        <w:w w:val="100"/>
      </w:rPr>
    </w:tblStylePr>
    <w:tblStylePr w:type="firstRow">
      <w:rPr>
        <w:color w:val="5B9BD5" w:themeColor="accent1"/>
        <w:shd w:val="clear" w:color="000000"/>
        <w:sz w:val="8"/>
        <w:szCs w:val="8"/>
        <w:w w:val="100"/>
      </w:rPr>
    </w:tblStylePr>
    <w:tblStylePr w:type="nwCell">
      <w:rPr>
        <w:shd w:val="clear" w:color="000000"/>
        <w:sz w:val="8"/>
        <w:szCs w:val="8"/>
        <w:w w:val="100"/>
      </w:rPr>
    </w:tblStylePr>
  </w:style>
  <w:style w:customStyle="1" w:styleId="PO147" w:type="table">
    <w:name w:val="LightShading-Accent1"/>
    <w:qFormat/>
    <w:uiPriority w:val="147"/>
    <w:rPr>
      <w:color w:val="3584CB" w:themeColor="accent1" w:themeShade="D8"/>
      <w:shd w:val="clear"/>
      <w:sz w:val="22"/>
      <w:szCs w:val="22"/>
      <w:w w:val="100"/>
    </w:rPr>
    <w:tblPr>
      <w:tblBorders>
        <w:bottom w:val="single" w:color="5B9BD5" w:themeColor="accent1" w:sz="8"/>
        <w:top w:val="single" w:color="5B9BD5" w:themeColor="accent1" w:sz="8"/>
      </w:tblBorders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shd w:fill="D7E7F5" w:themeFill="accent1" w:themeFillTint="3E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D7E7F5" w:themeFill="accent1" w:themeFillTint="3E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pPr>
        <w:jc w:val="both"/>
      </w:pPr>
      <w:rPr>
        <w:b/>
        <w:shd w:val="clear" w:color="000000"/>
        <w:sz w:val="20"/>
        <w:szCs w:val="20"/>
        <w:w w:val="100"/>
      </w:rPr>
      <w:tblPr/>
      <w:tcPr>
        <w:tcBorders>
          <w:bottom w:val="single" w:color="5B9BD5" w:themeColor="accent1" w:sz="8"/>
          <w:insideH w:val="nil"/>
          <w:insideV w:val="nil"/>
          <w:left w:val="nil"/>
          <w:right w:val="nil"/>
          <w:top w:val="single" w:color="5B9BD5" w:themeColor="accent1" w:sz="8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pPr>
        <w:jc w:val="both"/>
      </w:pPr>
      <w:tblPr/>
      <w:tcPr>
        <w:tcBorders>
          <w:bottom w:val="single" w:color="5B9BD5" w:themeColor="accent1" w:sz="8"/>
          <w:insideH w:val="nil"/>
          <w:insideV w:val="nil"/>
          <w:left w:val="nil"/>
          <w:right w:val="nil"/>
          <w:top w:val="single" w:color="5B9BD5" w:themeColor="accent1" w:sz="8"/>
        </w:tcBorders>
      </w:tcPr>
    </w:tblStylePr>
  </w:style>
  <w:style w:customStyle="1" w:styleId="PO148" w:type="table">
    <w:name w:val="MediumShading2-Accent5"/>
    <w:qFormat/>
    <w:uiPriority w:val="148"/>
    <w:rPr>
      <w:shd w:val="clear"/>
      <w:sz w:val="22"/>
      <w:szCs w:val="22"/>
      <w:w w:val="100"/>
    </w:rPr>
    <w:tblPr>
      <w:tblBorders>
        <w:bottom w:val="single" w:color="5B9BD5" w:themeColor="accent1" w:sz="18"/>
        <w:top w:val="single" w:color="5B9BD5" w:themeColor="accent1" w:sz="18"/>
      </w:tblBorders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shd w:fill="D7E7F5" w:themeFill="accent1" w:themeFillTint="3E" w:color="000000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blPr/>
      <w:tcPr>
        <w:shd w:fill="D7E7F5" w:themeFill="accent1" w:themeFillTint="3E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pPr>
        <w:jc w:val="both"/>
      </w:pPr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pPr>
        <w:jc w:val="both"/>
      </w:pPr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</w:style>
  <w:style w:customStyle="1" w:styleId="PO149" w:type="table">
    <w:name w:val="LightList"/>
    <w:qFormat/>
    <w:uiPriority w:val="149"/>
    <w:rPr>
      <w:shd w:val="clear"/>
      <w:sz w:val="22"/>
      <w:szCs w:val="22"/>
      <w:w w:val="100"/>
    </w:rPr>
    <w:tblPr>
      <w:tblBorders>
        <w:bottom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tcBorders>
          <w:bottom w:val="single" w:color="D7E7F5" w:themeColor="accent1" w:themeTint="3E" w:sz="8"/>
          <w:left w:val="single" w:color="D7E7F5" w:themeColor="accent1" w:themeTint="3E" w:sz="8"/>
          <w:right w:val="single" w:color="D7E7F5" w:themeColor="accent1" w:themeTint="3E" w:sz="8"/>
          <w:top w:val="single" w:color="D7E7F5" w:themeColor="accent1" w:themeTint="3E" w:sz="8"/>
        </w:tcBorders>
      </w:tcPr>
    </w:tblStylePr>
    <w:tblStylePr w:type="band1Vert">
      <w:tblPr/>
      <w:tcPr>
        <w:tcBorders>
          <w:bottom w:val="single" w:color="D7E7F5" w:themeColor="accent1" w:themeTint="3E" w:sz="8"/>
          <w:left w:val="single" w:color="D7E7F5" w:themeColor="accent1" w:themeTint="3E" w:sz="8"/>
          <w:right w:val="single" w:color="D7E7F5" w:themeColor="accent1" w:themeTint="3E" w:sz="8"/>
          <w:top w:val="single" w:color="D7E7F5" w:themeColor="accent1" w:themeTint="3E" w:sz="8"/>
        </w:tcBorders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pPr>
        <w:jc w:val="both"/>
      </w:pPr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pPr>
        <w:jc w:val="both"/>
      </w:pPr>
      <w:rPr>
        <w:b/>
        <w:shd w:val="clear" w:color="000000"/>
        <w:sz w:val="20"/>
        <w:szCs w:val="20"/>
        <w:w w:val="100"/>
      </w:rPr>
      <w:tblPr/>
      <w:tcPr>
        <w:tcBorders>
          <w:bottom w:val="single" w:color="000000" w:themeColor="text1" w:sz="6"/>
          <w:left w:val="single" w:color="000000" w:themeColor="text1" w:sz="6"/>
          <w:right w:val="single" w:color="000000" w:themeColor="text1" w:sz="6"/>
          <w:top w:val="double" w:color="000000" w:themeColor="text1" w:sz="6"/>
        </w:tcBorders>
      </w:tcPr>
    </w:tblStylePr>
  </w:style>
  <w:style w:customStyle="1" w:styleId="PO150" w:type="table">
    <w:name w:val="LightList-Accent3"/>
    <w:qFormat/>
    <w:uiPriority w:val="150"/>
    <w:rPr>
      <w:shd w:val="clear"/>
      <w:sz w:val="22"/>
      <w:szCs w:val="22"/>
      <w:w w:val="100"/>
    </w:rPr>
    <w:tblPr>
      <w:tblBorders>
        <w:bottom w:val="single" w:color="A5A5A5" w:themeColor="accent3" w:sz="8"/>
        <w:left w:val="single" w:color="A5A5A5" w:themeColor="accent3" w:sz="8"/>
        <w:right w:val="single" w:color="A5A5A5" w:themeColor="accent3" w:sz="8"/>
        <w:top w:val="single" w:color="A5A5A5" w:themeColor="accent3" w:sz="8"/>
      </w:tblBorders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tcBorders>
          <w:bottom w:val="single" w:color="A5A5A5" w:themeColor="accent3" w:sz="8"/>
          <w:left w:val="single" w:color="A5A5A5" w:themeColor="accent3" w:sz="8"/>
          <w:right w:val="single" w:color="A5A5A5" w:themeColor="accent3" w:sz="8"/>
          <w:top w:val="single" w:color="A5A5A5" w:themeColor="accent3" w:sz="8"/>
        </w:tcBorders>
      </w:tcPr>
    </w:tblStylePr>
    <w:tblStylePr w:type="band1Vert">
      <w:tblPr/>
      <w:tcPr>
        <w:tcBorders>
          <w:bottom w:val="single" w:color="A5A5A5" w:themeColor="accent3" w:sz="8"/>
          <w:left w:val="single" w:color="A5A5A5" w:themeColor="accent3" w:sz="8"/>
          <w:right w:val="single" w:color="A5A5A5" w:themeColor="accent3" w:sz="8"/>
          <w:top w:val="single" w:color="A5A5A5" w:themeColor="accent3" w:sz="8"/>
        </w:tcBorders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pPr>
        <w:jc w:val="both"/>
      </w:pPr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pPr>
        <w:jc w:val="both"/>
      </w:pPr>
      <w:rPr>
        <w:b/>
        <w:shd w:val="clear" w:color="000000"/>
        <w:sz w:val="20"/>
        <w:szCs w:val="20"/>
        <w:w w:val="100"/>
      </w:rPr>
      <w:tblPr/>
      <w:tcPr>
        <w:tcBorders>
          <w:bottom w:val="single" w:color="A5A5A5" w:themeColor="accent3" w:sz="6"/>
          <w:left w:val="single" w:color="A5A5A5" w:themeColor="accent3" w:sz="6"/>
          <w:right w:val="single" w:color="A5A5A5" w:themeColor="accent3" w:sz="6"/>
          <w:top w:val="double" w:color="A5A5A5" w:themeColor="accent3" w:sz="6"/>
        </w:tcBorders>
      </w:tcPr>
    </w:tblStylePr>
  </w:style>
  <w:style w:customStyle="1" w:styleId="PO151" w:type="table">
    <w:name w:val="MediumList2-Accent1"/>
    <w:uiPriority w:val="151"/>
    <w:rPr>
      <w:color w:val="000000" w:themeColor="text1"/>
      <w:shd w:val="clear"/>
      <w:sz w:val="22"/>
      <w:szCs w:val="22"/>
      <w:w w:val="100"/>
    </w:rPr>
    <w:tblPr>
      <w:tblBorders>
        <w:bottom w:val="single" w:color="5B9BD5" w:themeColor="accent1" w:sz="8"/>
        <w:left w:val="single" w:color="5B9BD5" w:themeColor="accent1" w:sz="8"/>
        <w:right w:val="single" w:color="5B9BD5" w:themeColor="accent1" w:sz="8"/>
        <w:top w:val="single" w:color="5B9BD5" w:themeColor="accent1" w:sz="8"/>
      </w:tblBorders>
      <w:tblCellMar>
        <w:bottom w:type="dxa" w:w="0"/>
        <w:left w:type="dxa" w:w="0"/>
        <w:right w:type="dxa" w:w="0"/>
        <w:top w:type="dxa" w:w="0"/>
      </w:tblCellMar>
    </w:tblPr>
    <w:tblStylePr w:type="band1Horz">
      <w:tblPr/>
      <w:tcPr>
        <w:shd w:fill="D7E7F5" w:themeFill="accent1" w:themeFillTint="3E" w:color="000000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blPr/>
      <w:tcPr>
        <w:shd w:fill="D7E7F5" w:themeFill="accent1" w:themeFillTint="3E" w:color="000000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single" w:color="5B9BD5" w:themeColor="accent1" w:sz="4"/>
          <w:top w:val="nil"/>
        </w:tcBorders>
      </w:tcPr>
    </w:tblStylePr>
    <w:tblStylePr w:type="firstRow">
      <w:tblPr/>
      <w:tcPr>
        <w:shd w:fill="FFFFFF" w:themeFill="background1" w:color="000000" w:val="clear"/>
        <w:tcBorders>
          <w:bottom w:val="single" w:color="5B9BD5" w:themeColor="accent1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blPr/>
      <w:tcPr>
        <w:shd w:fill="FFFFFF" w:themeFill="background1" w:color="000000" w:val="clear"/>
        <w:tcBorders>
          <w:bottom w:val="nil"/>
          <w:insideH w:val="nil"/>
          <w:insideV w:val="nil"/>
          <w:left w:val="single" w:color="5B9BD5" w:themeColor="accent1" w:sz="4"/>
          <w:right w:val="nil"/>
          <w:top w:val="nil"/>
        </w:tcBorders>
      </w:tcPr>
    </w:tblStylePr>
    <w:tblStylePr w:type="lastRow"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  <w:top w:val="single" w:color="5B9BD5" w:themeColor="accent1" w:sz="4"/>
        </w:tcBorders>
      </w:tcPr>
    </w:tblStylePr>
    <w:tblStylePr w:type="nwCell">
      <w:tblPr/>
      <w:tcPr>
        <w:shd w:fill="FFFFFF" w:themeFill="background1" w:color="000000" w:val="clear"/>
      </w:tcPr>
    </w:tblStylePr>
    <w:tblStylePr w:type="swCell">
      <w:tblPr/>
      <w:tcPr>
        <w:tcBorders>
          <w:top w:val="nil"/>
        </w:tcBorders>
      </w:tcPr>
    </w:tblStylePr>
  </w:style>
  <w:style w:customStyle="1" w:styleId="PO152" w:type="character">
    <w:name w:val="不明显强调1"/>
    <w:qFormat/>
    <w:uiPriority w:val="152"/>
    <w:rPr>
      <w:color w:val="404040"/>
      <w:i/>
      <w:shd w:val="clear" w:color="000000"/>
      <w:sz w:val="21"/>
      <w:szCs w:val="21"/>
      <w:w w:val="100"/>
    </w:rPr>
  </w:style>
  <w:style w:customStyle="1" w:styleId="PO153" w:type="character">
    <w:name w:val="明显强调1"/>
    <w:qFormat/>
    <w:uiPriority w:val="153"/>
    <w:rPr>
      <w:color w:val="5B9BD5"/>
      <w:i/>
      <w:shd w:val="clear" w:color="000000"/>
      <w:sz w:val="21"/>
      <w:szCs w:val="21"/>
      <w:w w:val="100"/>
    </w:rPr>
  </w:style>
  <w:style w:customStyle="1" w:styleId="PO154" w:type="character">
    <w:name w:val="不明显参考1"/>
    <w:qFormat/>
    <w:uiPriority w:val="154"/>
    <w:rPr>
      <w:color w:val="5A5A5A"/>
      <w:shd w:val="clear" w:color="000000"/>
      <w:smallCaps/>
      <w:sz w:val="21"/>
      <w:szCs w:val="21"/>
      <w:w w:val="100"/>
    </w:rPr>
  </w:style>
  <w:style w:customStyle="1" w:styleId="PO155" w:type="character">
    <w:name w:val="明显参考1"/>
    <w:qFormat/>
    <w:uiPriority w:val="155"/>
    <w:rPr>
      <w:color w:val="5B9BD5"/>
      <w:b/>
      <w:shd w:val="clear" w:color="000000"/>
      <w:smallCaps/>
      <w:sz w:val="21"/>
      <w:szCs w:val="21"/>
      <w:w w:val="100"/>
    </w:rPr>
  </w:style>
  <w:style w:customStyle="1" w:styleId="PO156" w:type="character">
    <w:name w:val="书籍标题1"/>
    <w:qFormat/>
    <w:uiPriority w:val="156"/>
    <w:rPr>
      <w:i/>
      <w:b/>
      <w:shd w:val="clear" w:color="000000"/>
      <w:sz w:val="21"/>
      <w:szCs w:val="21"/>
      <w:w w:val="100"/>
    </w:rPr>
  </w:style>
  <w:style w:customStyle="1" w:styleId="PO157" w:type="paragraph">
    <w:name w:val="TOC 标题1"/>
    <w:qFormat/>
    <w:uiPriority w:val="157"/>
    <w:unhideWhenUsed/>
    <w:pPr>
      <w:autoSpaceDE w:val="1"/>
      <w:autoSpaceDN w:val="1"/>
      <w:jc w:val="both"/>
      <w:widowControl/>
      <w:wordWrap/>
    </w:pPr>
    <w:rPr>
      <w:color w:val="2E74B5"/>
      <w:rFonts w:ascii="Times New Roman" w:eastAsia="Times New Roman" w:hAnsi="Times New Roman"/>
      <w:shd w:val="clear"/>
      <w:sz w:val="32"/>
      <w:szCs w:val="32"/>
      <w:w w:val="100"/>
    </w:rPr>
  </w:style>
  <w:style w:styleId="PO158" w:type="paragraph">
    <w:name w:val="footer"/>
    <w:basedOn w:val="PO1"/>
    <w:link w:val="PO161"/>
    <w:qFormat/>
    <w:uiPriority w:val="158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9" w:type="paragraph">
    <w:name w:val="header"/>
    <w:basedOn w:val="PO1"/>
    <w:link w:val="PO160"/>
    <w:qFormat/>
    <w:uiPriority w:val="159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60" w:type="character">
    <w:name w:val="页眉 字符"/>
    <w:basedOn w:val="PO2"/>
    <w:link w:val="PO159"/>
    <w:qFormat/>
    <w:uiPriority w:val="160"/>
    <w:rPr>
      <w:shd w:val="clear" w:color="000000"/>
      <w:sz w:val="18"/>
      <w:szCs w:val="18"/>
      <w:w w:val="100"/>
    </w:rPr>
  </w:style>
  <w:style w:customStyle="1" w:styleId="PO161" w:type="character">
    <w:name w:val="页脚 字符"/>
    <w:basedOn w:val="PO2"/>
    <w:link w:val="PO158"/>
    <w:qFormat/>
    <w:uiPriority w:val="161"/>
    <w:rPr>
      <w:shd w:val="clear" w:color="000000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23</Lines>
  <LinksUpToDate>false</LinksUpToDate>
  <Pages>3</Pages>
  <Paragraphs>6</Paragraphs>
  <Words>485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2018-05-30T06:23:00Z</dcterms:modified>
</cp:coreProperties>
</file>